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FF0000"/>
          <w:sz w:val="24"/>
          <w:szCs w:val="24"/>
        </w:rPr>
      </w:pPr>
      <w:r>
        <w:rPr>
          <w:rFonts w:hint="eastAsia"/>
          <w:b/>
          <w:bCs/>
          <w:color w:val="FF0000"/>
          <w:sz w:val="24"/>
          <w:szCs w:val="24"/>
        </w:rPr>
        <w:drawing>
          <wp:anchor distT="0" distB="0" distL="114300" distR="114300" simplePos="0" relativeHeight="251658240" behindDoc="0" locked="0" layoutInCell="1" allowOverlap="1">
            <wp:simplePos x="0" y="0"/>
            <wp:positionH relativeFrom="page">
              <wp:posOffset>12103100</wp:posOffset>
            </wp:positionH>
            <wp:positionV relativeFrom="topMargin">
              <wp:posOffset>10337800</wp:posOffset>
            </wp:positionV>
            <wp:extent cx="444500" cy="266700"/>
            <wp:effectExtent l="0" t="0" r="12700" b="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5"/>
                    <a:stretch>
                      <a:fillRect/>
                    </a:stretch>
                  </pic:blipFill>
                  <pic:spPr>
                    <a:xfrm>
                      <a:off x="0" y="0"/>
                      <a:ext cx="444500" cy="266700"/>
                    </a:xfrm>
                    <a:prstGeom prst="rect">
                      <a:avLst/>
                    </a:prstGeom>
                  </pic:spPr>
                </pic:pic>
              </a:graphicData>
            </a:graphic>
          </wp:anchor>
        </w:drawing>
      </w:r>
      <w:r>
        <w:rPr>
          <w:rFonts w:hint="eastAsia"/>
          <w:b/>
          <w:bCs/>
          <w:color w:val="FF0000"/>
          <w:sz w:val="24"/>
          <w:szCs w:val="24"/>
        </w:rPr>
        <w:t>易混易错</w:t>
      </w:r>
    </w:p>
    <w:p>
      <w:pPr>
        <w:spacing w:line="360" w:lineRule="auto"/>
        <w:jc w:val="center"/>
        <w:rPr>
          <w:b/>
          <w:bCs/>
          <w:color w:val="FF0000"/>
          <w:sz w:val="32"/>
          <w:szCs w:val="32"/>
        </w:rPr>
      </w:pPr>
      <w:r>
        <w:rPr>
          <w:rFonts w:hint="eastAsia"/>
          <w:b/>
          <w:bCs/>
          <w:color w:val="FF0000"/>
          <w:sz w:val="32"/>
          <w:szCs w:val="32"/>
        </w:rPr>
        <w:t>经济生活之一</w:t>
      </w:r>
    </w:p>
    <w:p>
      <w:pPr>
        <w:spacing w:line="360" w:lineRule="auto"/>
        <w:jc w:val="center"/>
        <w:rPr>
          <w:b/>
          <w:bCs/>
          <w:color w:val="FF0000"/>
          <w:sz w:val="32"/>
          <w:szCs w:val="32"/>
        </w:rPr>
      </w:pPr>
      <w:r>
        <w:rPr>
          <w:rFonts w:hint="eastAsia"/>
          <w:b/>
          <w:bCs/>
          <w:color w:val="FF0000"/>
          <w:sz w:val="32"/>
          <w:szCs w:val="32"/>
        </w:rPr>
        <w:t>（1-50）</w:t>
      </w:r>
    </w:p>
    <w:p>
      <w:pPr>
        <w:spacing w:line="360" w:lineRule="auto"/>
        <w:jc w:val="center"/>
        <w:rPr>
          <w:b/>
          <w:bCs/>
          <w:color w:val="FF0000"/>
          <w:sz w:val="30"/>
          <w:szCs w:val="30"/>
        </w:rPr>
      </w:pPr>
      <w:r>
        <w:rPr>
          <w:b/>
          <w:bCs/>
          <w:color w:val="FF0000"/>
          <w:sz w:val="30"/>
          <w:szCs w:val="30"/>
        </w:rPr>
        <w:t>---- 教师版 ----</w:t>
      </w:r>
    </w:p>
    <w:p>
      <w:pPr>
        <w:spacing w:line="360" w:lineRule="auto"/>
        <w:rPr>
          <w:rFonts w:ascii="宋体" w:hAnsi="宋体"/>
          <w:szCs w:val="21"/>
        </w:rPr>
      </w:pPr>
    </w:p>
    <w:tbl>
      <w:tblPr>
        <w:tblStyle w:val="6"/>
        <w:tblW w:w="9382" w:type="dxa"/>
        <w:tblInd w:w="93" w:type="dxa"/>
        <w:tblLayout w:type="autofit"/>
        <w:tblCellMar>
          <w:top w:w="0" w:type="dxa"/>
          <w:left w:w="108" w:type="dxa"/>
          <w:bottom w:w="0" w:type="dxa"/>
          <w:right w:w="108" w:type="dxa"/>
        </w:tblCellMar>
      </w:tblPr>
      <w:tblGrid>
        <w:gridCol w:w="589"/>
        <w:gridCol w:w="4396"/>
        <w:gridCol w:w="4397"/>
      </w:tblGrid>
      <w:tr>
        <w:tblPrEx>
          <w:tblCellMar>
            <w:top w:w="0" w:type="dxa"/>
            <w:left w:w="108" w:type="dxa"/>
            <w:bottom w:w="0" w:type="dxa"/>
            <w:right w:w="108" w:type="dxa"/>
          </w:tblCellMar>
        </w:tblPrEx>
        <w:trPr>
          <w:trHeight w:val="221" w:hRule="atLeast"/>
        </w:trPr>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序号</w:t>
            </w:r>
          </w:p>
        </w:tc>
        <w:tc>
          <w:tcPr>
            <w:tcW w:w="439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易混易错知识</w:t>
            </w:r>
          </w:p>
        </w:tc>
        <w:tc>
          <w:tcPr>
            <w:tcW w:w="439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判断及改错</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商品与货币同时产生，是一对孪生兄弟。</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货币的出现比商品晚得多，货币是商品交换长期发展的产物</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不同的商品能够交换，是因为它们都具有使用价值</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不同的商品能够交换，是因为它们都是劳动产品，生产它们都耗费了无差别的人类劳动。</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货币的本质是商品</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 xml:space="preserve"> 货币的本质是一般等价物</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货币的职能是货币本质的体现。货币具有价值尺度和流通手段的职能，其根本原因在于货币的本质是一般等价物</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5</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货币的基本职能是价值尺度和支付手段</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货币的基本职能是价值尺度和流通手段</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6</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货币所具有的表现和衡量其他一切商品价值大小的职能，叫流通手段</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货币所具有的表现和衡量其他一切商品价值大小的职能，叫价值尺度。货币充当商品交换的媒介的职能，叫流通手段</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7</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生产者要为消费者着想，生产质量上乘的商品是因为质量越好，价格越高</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价值是价格的基础，价值决定价格，使用价值是价值的物质承担者，影响价值的有效实现</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8</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纸币的本质是一般等价物，具有价值尺度和流通手段职能</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纸币的本质是价值符号，不具备价值尺度职能，可以行使流通手段职能</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9</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国家可以规定纸币的发行量，国家可以规定每种面值纸币代表多少价值(纸币的购买力)</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国家只可以规定纸币的面值，无法规定之比的购买力</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10</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金银纪念币的本质是商品</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金银纪念币是商品，是货币，其本质是一般等价物</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11</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Q币是商品，它可以充当支付手段</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Q币是特殊商品，是虚拟货币，代表一种服务，不是货币，没有货币的职能</w:t>
            </w:r>
          </w:p>
        </w:tc>
      </w:tr>
      <w:tr>
        <w:tblPrEx>
          <w:tblCellMar>
            <w:top w:w="0" w:type="dxa"/>
            <w:left w:w="108" w:type="dxa"/>
            <w:bottom w:w="0" w:type="dxa"/>
            <w:right w:w="108" w:type="dxa"/>
          </w:tblCellMar>
        </w:tblPrEx>
        <w:trPr>
          <w:trHeight w:val="707"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12</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物价上涨就是通货膨胀，物价下跌就是通货紧缩</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通货膨胀(紧缩)的主要原因是纸币发行量超过(小于)流通中实际需要的货币量，会引起物价全面持续上涨(下跌)，本质是社会总需求大于(小于)社会总供给造成的。所以物价上涨不等于通货膨胀，物价下跌不等于通货紧缩。通货膨胀时国家可以采取紧缩性的财政政策，如提高税率，增加税收；减少财政( 经济建设) 支出，减少国债的发行量。采取紧缩性的货币政策，如提高银行存贷款利率，提高银行存款准备金率，减少纸币发行量，缩减银行信贷规模。通货紧缩时相反</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13</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外汇是两种货币的兑换比例。外币就是外汇</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外汇是用外币表示的用于国际间结算的支付手段</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14</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一种商品的价格不是固定不变的，时涨时落，但是不会无限上涨，也不会无限下跌。这是因为价格变动受到供求关系的影响，但是价格最终由价值决定的</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15</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“物以稀为贵” 、“货多不值钱”说明价值决定价格</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“物以稀为贵” 、“货多不值钱”说明供求影响价格，供不应求，价格上涨，形成卖方市场；供过于求，价格下跌，形成买方市场</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16</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商品需求量的增加，会引起商品价格的上涨</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还要结合供应量，如果供不应求，才会引起价格上涨</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17</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生产者努力缩短个别劳动时间，提高劳动生产率是因为个别劳动时间决定价值量</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商品价值量是由社会必要劳动时间决定的</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18</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社会劳动生产率与商品价值总量成正比</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社会劳动生产率与商品价值总量无关</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19</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商品价格下降的根本原因是个别劳动生产率提高(供过于求)</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价格虽然受供求关系影响，但是价值决定价格，所以商品价格下降的根本原因是社会劳动生产率提高</w:t>
            </w:r>
          </w:p>
        </w:tc>
      </w:tr>
      <w:tr>
        <w:tblPrEx>
          <w:tblCellMar>
            <w:top w:w="0" w:type="dxa"/>
            <w:left w:w="108" w:type="dxa"/>
            <w:bottom w:w="0" w:type="dxa"/>
            <w:right w:w="108" w:type="dxa"/>
          </w:tblCellMar>
        </w:tblPrEx>
        <w:trPr>
          <w:trHeight w:val="221"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20</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某企业通过技术创新可以提高社会劳动生产率，使商品的价值量减少</w:t>
            </w:r>
            <w:bookmarkStart w:id="0" w:name="_GoBack"/>
            <w:bookmarkEnd w:id="0"/>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提高的是个别劳动生产率，商品的价值量不变</w:t>
            </w:r>
          </w:p>
        </w:tc>
      </w:tr>
      <w:tr>
        <w:tblPrEx>
          <w:tblCellMar>
            <w:top w:w="0" w:type="dxa"/>
            <w:left w:w="108" w:type="dxa"/>
            <w:bottom w:w="0" w:type="dxa"/>
            <w:right w:w="108" w:type="dxa"/>
          </w:tblCellMar>
        </w:tblPrEx>
        <w:trPr>
          <w:trHeight w:val="663"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21</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价值规律的内容是价格受供求关系影响，围绕价值上下波动</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价值规律的表现形式是价格受供求关系影响，围绕价值上下波动。内容是商品的价值量由生产该商品的社会必要劳动时间决定，商品交换以价值量为基础实行等价交换</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22</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价值规律要求实行等价交换，所以每一次商品交换商品的价格和价值都相符合</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由于供求关系不断变化，供不应求，价格高于价值，供过于求，价格低于价值。所以，并不是每一次交换价格与价值都相符合，等价交换只存在于交换的平均数中</w:t>
            </w:r>
          </w:p>
        </w:tc>
      </w:tr>
      <w:tr>
        <w:tblPrEx>
          <w:tblCellMar>
            <w:top w:w="0" w:type="dxa"/>
            <w:left w:w="108" w:type="dxa"/>
            <w:bottom w:w="0" w:type="dxa"/>
            <w:right w:w="108" w:type="dxa"/>
          </w:tblCellMar>
        </w:tblPrEx>
        <w:trPr>
          <w:trHeight w:val="663"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23</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粮食、蔬菜、食用油价格上涨，需求量会大幅下跌</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粮食、蔬菜、食用油是生活必需品，其需求量受价格变动影响较小，不会大幅下跌. 汽车、珠宝首饰等高档耐用品的需求量受价格变动影响较大，价格上涨，需求量会大幅下跌</w:t>
            </w:r>
          </w:p>
        </w:tc>
      </w:tr>
      <w:tr>
        <w:tblPrEx>
          <w:tblCellMar>
            <w:top w:w="0" w:type="dxa"/>
            <w:left w:w="108" w:type="dxa"/>
            <w:bottom w:w="0" w:type="dxa"/>
            <w:right w:w="108" w:type="dxa"/>
          </w:tblCellMar>
        </w:tblPrEx>
        <w:trPr>
          <w:trHeight w:val="442"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24</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随着高速铁路的通车运行， 航空公司的反应是提高票价，吸引客源。因为飞机和火车是互补商品</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高速铁路的通车运行，航空公司的反应是降低票价，吸引客源。因为飞机和火车是互为替代商品</w:t>
            </w:r>
          </w:p>
        </w:tc>
      </w:tr>
      <w:tr>
        <w:tblPrEx>
          <w:tblCellMar>
            <w:top w:w="0" w:type="dxa"/>
            <w:left w:w="108" w:type="dxa"/>
            <w:bottom w:w="0" w:type="dxa"/>
            <w:right w:w="108" w:type="dxa"/>
          </w:tblCellMar>
        </w:tblPrEx>
        <w:trPr>
          <w:trHeight w:val="1100" w:hRule="atLeast"/>
        </w:trPr>
        <w:tc>
          <w:tcPr>
            <w:tcW w:w="58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25</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如果某商品价格持续上升，该商品的需求量将会减少(价格变动影响需求量)，而该商品的替代商品的需求量将会有所上升，其互补商品的需求量将会减少，生产者将会扩大生产，增加该商品的供给(价格变动能够调节生产规模</w:t>
            </w:r>
          </w:p>
        </w:tc>
        <w:tc>
          <w:tcPr>
            <w:tcW w:w="4394"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w:t>
            </w:r>
          </w:p>
        </w:tc>
      </w:tr>
    </w:tbl>
    <w:p>
      <w:pPr>
        <w:spacing w:line="360" w:lineRule="auto"/>
        <w:ind w:firstLine="2310" w:firstLineChars="1100"/>
        <w:rPr>
          <w:szCs w:val="21"/>
        </w:rPr>
      </w:pPr>
      <w:r>
        <w:rPr>
          <w:rFonts w:hint="eastAsia"/>
          <w:szCs w:val="21"/>
        </w:rPr>
        <w:t>（更多资源请关注公众号【莫莫高中政治】）</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tbl>
      <w:tblPr>
        <w:tblStyle w:val="6"/>
        <w:tblW w:w="9555" w:type="dxa"/>
        <w:tblInd w:w="93" w:type="dxa"/>
        <w:tblLayout w:type="autofit"/>
        <w:tblCellMar>
          <w:top w:w="0" w:type="dxa"/>
          <w:left w:w="108" w:type="dxa"/>
          <w:bottom w:w="0" w:type="dxa"/>
          <w:right w:w="108" w:type="dxa"/>
        </w:tblCellMar>
      </w:tblPr>
      <w:tblGrid>
        <w:gridCol w:w="523"/>
        <w:gridCol w:w="4352"/>
        <w:gridCol w:w="4680"/>
      </w:tblGrid>
      <w:tr>
        <w:trPr>
          <w:trHeight w:val="225"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p>
        </w:tc>
        <w:tc>
          <w:tcPr>
            <w:tcW w:w="435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易混易错知识</w:t>
            </w:r>
          </w:p>
        </w:tc>
        <w:tc>
          <w:tcPr>
            <w:tcW w:w="46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判断及改错</w:t>
            </w:r>
          </w:p>
        </w:tc>
      </w:tr>
      <w:tr>
        <w:tblPrEx>
          <w:tblCellMar>
            <w:top w:w="0" w:type="dxa"/>
            <w:left w:w="108" w:type="dxa"/>
            <w:bottom w:w="0" w:type="dxa"/>
            <w:right w:w="108" w:type="dxa"/>
          </w:tblCellMar>
        </w:tblPrEx>
        <w:trPr>
          <w:trHeight w:val="67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26</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在互为替代的商品之间，一种商品价格的上升，会引起另一种商品价格的上涨</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如果某商品价格持续上升，该商品的需求量将会减少(价格变动影响需求量)，而该商品的替代商品的需求量将会有所上升，但不一定引起另一种商品价格的上涨，因为供求的对比关系才会影响价格</w:t>
            </w:r>
          </w:p>
        </w:tc>
      </w:tr>
      <w:tr>
        <w:tblPrEx>
          <w:tblCellMar>
            <w:top w:w="0" w:type="dxa"/>
            <w:left w:w="108" w:type="dxa"/>
            <w:bottom w:w="0" w:type="dxa"/>
            <w:right w:w="108" w:type="dxa"/>
          </w:tblCellMar>
        </w:tblPrEx>
        <w:trPr>
          <w:trHeight w:val="22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27</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影响消费的主要因素是收入水平和商品的外观、质量</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影响消费的主要因素是收入水平和物价水平</w:t>
            </w:r>
          </w:p>
        </w:tc>
      </w:tr>
      <w:tr>
        <w:tblPrEx>
          <w:tblCellMar>
            <w:top w:w="0" w:type="dxa"/>
            <w:left w:w="108" w:type="dxa"/>
            <w:bottom w:w="0" w:type="dxa"/>
            <w:right w:w="108" w:type="dxa"/>
          </w:tblCellMar>
        </w:tblPrEx>
        <w:trPr>
          <w:trHeight w:val="45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28</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家庭收入越多，消费水平越高</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在其他因素不变的情况下，家庭收入水平提高，家庭消费水平也会相应提高。但商品的价格水平、家庭人口数量、居民消费观念也会影响家庭消费水平</w:t>
            </w:r>
          </w:p>
        </w:tc>
      </w:tr>
      <w:tr>
        <w:tblPrEx>
          <w:tblCellMar>
            <w:top w:w="0" w:type="dxa"/>
            <w:left w:w="108" w:type="dxa"/>
            <w:bottom w:w="0" w:type="dxa"/>
            <w:right w:w="108" w:type="dxa"/>
          </w:tblCellMar>
        </w:tblPrEx>
        <w:trPr>
          <w:trHeight w:val="45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29</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贷款消费是超前消费，不值得提倡</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超前消费是指超出自己的收入水平进行的消费，而贷款消费是针对收入稳定、对未来收入持乐观态度且没有太多积蓄的人开设的</w:t>
            </w:r>
          </w:p>
        </w:tc>
      </w:tr>
      <w:tr>
        <w:tblPrEx>
          <w:tblCellMar>
            <w:top w:w="0" w:type="dxa"/>
            <w:left w:w="108" w:type="dxa"/>
            <w:bottom w:w="0" w:type="dxa"/>
            <w:right w:w="108" w:type="dxa"/>
          </w:tblCellMar>
        </w:tblPrEx>
        <w:trPr>
          <w:trHeight w:val="22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30</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消费对生产具有反作用，为扩大内需，所以任何人都可以贷款消费</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贷款消费还要根据个人的收入状况, 不能超前消费, 否则会阻碍经济发展</w:t>
            </w:r>
          </w:p>
        </w:tc>
      </w:tr>
      <w:tr>
        <w:tblPrEx>
          <w:tblCellMar>
            <w:top w:w="0" w:type="dxa"/>
            <w:left w:w="108" w:type="dxa"/>
            <w:bottom w:w="0" w:type="dxa"/>
            <w:right w:w="108" w:type="dxa"/>
          </w:tblCellMar>
        </w:tblPrEx>
        <w:trPr>
          <w:trHeight w:val="22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31</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满足衣食住行的消费都是生存资料消费</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生存资料消费是满足较低层次衣食住行的需要的，是最基本的消费</w:t>
            </w:r>
          </w:p>
        </w:tc>
      </w:tr>
      <w:tr>
        <w:tblPrEx>
          <w:tblCellMar>
            <w:top w:w="0" w:type="dxa"/>
            <w:left w:w="108" w:type="dxa"/>
            <w:bottom w:w="0" w:type="dxa"/>
            <w:right w:w="108" w:type="dxa"/>
          </w:tblCellMar>
        </w:tblPrEx>
        <w:trPr>
          <w:trHeight w:val="45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32</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 xml:space="preserve"> 消费结构是指食品支出占家庭消费总支出的比重</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消费结构是指各类消费支出在消费总支出中所占的比重。恩格尔系数是指食品支出占家庭消费总支出的比重</w:t>
            </w:r>
          </w:p>
        </w:tc>
      </w:tr>
      <w:tr>
        <w:tblPrEx>
          <w:tblCellMar>
            <w:top w:w="0" w:type="dxa"/>
            <w:left w:w="108" w:type="dxa"/>
            <w:bottom w:w="0" w:type="dxa"/>
            <w:right w:w="108" w:type="dxa"/>
          </w:tblCellMar>
        </w:tblPrEx>
        <w:trPr>
          <w:trHeight w:val="54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33</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随着我国经济的发展、人民收入的增加，居民的恩格尔系数不断降低，食品支出越来越少。家庭消费享受资料消费为主</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应该是食品支出占家庭消费总支出的比重越来越少，越来越注重发展资料消费和享受资料消费</w:t>
            </w:r>
          </w:p>
        </w:tc>
      </w:tr>
      <w:tr>
        <w:tblPrEx>
          <w:tblCellMar>
            <w:top w:w="0" w:type="dxa"/>
            <w:left w:w="108" w:type="dxa"/>
            <w:bottom w:w="0" w:type="dxa"/>
            <w:right w:w="108" w:type="dxa"/>
          </w:tblCellMar>
        </w:tblPrEx>
        <w:trPr>
          <w:trHeight w:val="36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34</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从众心理求异心理引发的消费都是不可取的</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盲目从众不可取、过分标新立异是不值得提倡的</w:t>
            </w:r>
          </w:p>
        </w:tc>
      </w:tr>
      <w:tr>
        <w:tblPrEx>
          <w:tblCellMar>
            <w:top w:w="0" w:type="dxa"/>
            <w:left w:w="108" w:type="dxa"/>
            <w:bottom w:w="0" w:type="dxa"/>
            <w:right w:w="108" w:type="dxa"/>
          </w:tblCellMar>
        </w:tblPrEx>
        <w:trPr>
          <w:trHeight w:val="54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35</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为了撑面子不惜举债消费而不考虑自己的偿还能力的行为，是缺乏理智的。过于紧缩消费会使人们的需求得不到满足，也不利于生产的发展。所以，我们要提倡勤俭节约、艰苦奋斗</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我们要提倡量入为出、适度消费</w:t>
            </w:r>
          </w:p>
        </w:tc>
      </w:tr>
      <w:tr>
        <w:tblPrEx>
          <w:tblCellMar>
            <w:top w:w="0" w:type="dxa"/>
            <w:left w:w="108" w:type="dxa"/>
            <w:bottom w:w="0" w:type="dxa"/>
            <w:right w:w="108" w:type="dxa"/>
          </w:tblCellMar>
        </w:tblPrEx>
        <w:trPr>
          <w:trHeight w:val="45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36</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随大流跟风购买自己并不需要的东西，只重视物质消费忽视精神消费的倾向是不可取的。所以，我们要保护环境、绿色消费</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我们要避免盲从，理性消费</w:t>
            </w:r>
          </w:p>
        </w:tc>
      </w:tr>
      <w:tr>
        <w:tblPrEx>
          <w:tblCellMar>
            <w:top w:w="0" w:type="dxa"/>
            <w:left w:w="108" w:type="dxa"/>
            <w:bottom w:w="0" w:type="dxa"/>
            <w:right w:w="108" w:type="dxa"/>
          </w:tblCellMar>
        </w:tblPrEx>
        <w:trPr>
          <w:trHeight w:val="22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37</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绿色消费的核心是可持续性消费，主旨是保护消费者的健康和节约资源</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w:t>
            </w:r>
          </w:p>
        </w:tc>
      </w:tr>
      <w:tr>
        <w:tblPrEx>
          <w:tblCellMar>
            <w:top w:w="0" w:type="dxa"/>
            <w:left w:w="108" w:type="dxa"/>
            <w:bottom w:w="0" w:type="dxa"/>
            <w:right w:w="108" w:type="dxa"/>
          </w:tblCellMar>
        </w:tblPrEx>
        <w:trPr>
          <w:trHeight w:val="22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38</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以艰苦奋斗为荣， 以骄奢淫逸为耻是社会主义荣辱观的体现。所以我们要勤俭节约、艰苦奋斗</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w:t>
            </w:r>
          </w:p>
        </w:tc>
      </w:tr>
      <w:tr>
        <w:tblPrEx>
          <w:tblCellMar>
            <w:top w:w="0" w:type="dxa"/>
            <w:left w:w="108" w:type="dxa"/>
            <w:bottom w:w="0" w:type="dxa"/>
            <w:right w:w="108" w:type="dxa"/>
          </w:tblCellMar>
        </w:tblPrEx>
        <w:trPr>
          <w:trHeight w:val="45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39</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随着汽车工业的发展，汽车的性能在不断的提高，其价格也在不断的下降，人们对轿车的向往也越来越强烈，说明了生产决定消费的质量和水平</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说明了生产为消费创造动力</w:t>
            </w:r>
          </w:p>
        </w:tc>
      </w:tr>
      <w:tr>
        <w:tblPrEx>
          <w:tblCellMar>
            <w:top w:w="0" w:type="dxa"/>
            <w:left w:w="108" w:type="dxa"/>
            <w:bottom w:w="0" w:type="dxa"/>
            <w:right w:w="108" w:type="dxa"/>
          </w:tblCellMar>
        </w:tblPrEx>
        <w:trPr>
          <w:trHeight w:val="36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40</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我国扩大内需的措施促进了经济较快增长，体现了消费决定生产</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体现了消费对生产有重要的反作用，消费拉动经济增长、促进生产发展</w:t>
            </w:r>
          </w:p>
        </w:tc>
      </w:tr>
      <w:tr>
        <w:tblPrEx>
          <w:tblCellMar>
            <w:top w:w="0" w:type="dxa"/>
            <w:left w:w="108" w:type="dxa"/>
            <w:bottom w:w="0" w:type="dxa"/>
            <w:right w:w="108" w:type="dxa"/>
          </w:tblCellMar>
        </w:tblPrEx>
        <w:trPr>
          <w:trHeight w:val="27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41</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凡是消费，就能促进生产的发展</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要适度的消费才能促进生长的发展，反之，则起阻碍作用</w:t>
            </w:r>
          </w:p>
        </w:tc>
      </w:tr>
      <w:tr>
        <w:tblPrEx>
          <w:tblCellMar>
            <w:top w:w="0" w:type="dxa"/>
            <w:left w:w="108" w:type="dxa"/>
            <w:bottom w:w="0" w:type="dxa"/>
            <w:right w:w="108" w:type="dxa"/>
          </w:tblCellMar>
        </w:tblPrEx>
        <w:trPr>
          <w:trHeight w:val="45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42</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中国银行股份有限公司是公有制经济</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不能笼统地说股份制企业是公有制经济，只能说是混合所有制经济。股份制企业如果是国家或集体控股，就带有明显的公有性</w:t>
            </w:r>
          </w:p>
        </w:tc>
      </w:tr>
      <w:tr>
        <w:tblPrEx>
          <w:tblCellMar>
            <w:top w:w="0" w:type="dxa"/>
            <w:left w:w="108" w:type="dxa"/>
            <w:bottom w:w="0" w:type="dxa"/>
            <w:right w:w="108" w:type="dxa"/>
          </w:tblCellMar>
        </w:tblPrEx>
        <w:trPr>
          <w:trHeight w:val="22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43</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我国鼓励、支持、引导非公有制经济的发展，是因为它是社会主义经济的重要组成部分</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它是社会主义市场经济的重要组成部分</w:t>
            </w:r>
          </w:p>
        </w:tc>
      </w:tr>
      <w:tr>
        <w:tblPrEx>
          <w:tblCellMar>
            <w:top w:w="0" w:type="dxa"/>
            <w:left w:w="108" w:type="dxa"/>
            <w:bottom w:w="0" w:type="dxa"/>
            <w:right w:w="108" w:type="dxa"/>
          </w:tblCellMar>
        </w:tblPrEx>
        <w:trPr>
          <w:trHeight w:val="51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44</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 xml:space="preserve"> 国有企业通过改革发展壮大有利于发挥公有制经济在国民经济中的主导作用，巩固国有经济的主体地位</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有利于发挥国有经济在国民经济中的主导作用，巩固公有制经济的主体地位</w:t>
            </w:r>
          </w:p>
        </w:tc>
      </w:tr>
      <w:tr>
        <w:tblPrEx>
          <w:tblCellMar>
            <w:top w:w="0" w:type="dxa"/>
            <w:left w:w="108" w:type="dxa"/>
            <w:bottom w:w="0" w:type="dxa"/>
            <w:right w:w="108" w:type="dxa"/>
          </w:tblCellMar>
        </w:tblPrEx>
        <w:trPr>
          <w:trHeight w:val="28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45</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国有经济在国民经济各个领域中都占有支配地位</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在关系国民经济命脉的重要行业和关键领域中占有支配地位</w:t>
            </w:r>
          </w:p>
        </w:tc>
      </w:tr>
      <w:tr>
        <w:tblPrEx>
          <w:tblCellMar>
            <w:top w:w="0" w:type="dxa"/>
            <w:left w:w="108" w:type="dxa"/>
            <w:bottom w:w="0" w:type="dxa"/>
            <w:right w:w="108" w:type="dxa"/>
          </w:tblCellMar>
        </w:tblPrEx>
        <w:trPr>
          <w:trHeight w:val="30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46</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个体和私营经济的主要区别是是否存在雇佣劳动</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w:t>
            </w:r>
          </w:p>
        </w:tc>
      </w:tr>
      <w:tr>
        <w:tblPrEx>
          <w:tblCellMar>
            <w:top w:w="0" w:type="dxa"/>
            <w:left w:w="108" w:type="dxa"/>
            <w:bottom w:w="0" w:type="dxa"/>
            <w:right w:w="108" w:type="dxa"/>
          </w:tblCellMar>
        </w:tblPrEx>
        <w:trPr>
          <w:trHeight w:val="79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47</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我国实行以公有制为主体、多种所有制经济共同发展的基本经济制度。实行以按劳分配为主体、多种分配方式并存的分配制度。我国农村实行土地经营权流转制度。从根本上说是因为上层建筑一定要适合经济基础的状况</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从根本上说是因为生产关系一定要适合生产力的状况</w:t>
            </w:r>
          </w:p>
        </w:tc>
      </w:tr>
      <w:tr>
        <w:tblPrEx>
          <w:tblCellMar>
            <w:top w:w="0" w:type="dxa"/>
            <w:left w:w="108" w:type="dxa"/>
            <w:bottom w:w="0" w:type="dxa"/>
            <w:right w:w="108" w:type="dxa"/>
          </w:tblCellMar>
        </w:tblPrEx>
        <w:trPr>
          <w:trHeight w:val="22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48</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国有经济是社会主义经济制度的基础</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公有制经济是社会主义经济制度的基础，是社会主义的根本经济特征</w:t>
            </w:r>
          </w:p>
        </w:tc>
      </w:tr>
      <w:tr>
        <w:tblPrEx>
          <w:tblCellMar>
            <w:top w:w="0" w:type="dxa"/>
            <w:left w:w="108" w:type="dxa"/>
            <w:bottom w:w="0" w:type="dxa"/>
            <w:right w:w="108" w:type="dxa"/>
          </w:tblCellMar>
        </w:tblPrEx>
        <w:trPr>
          <w:trHeight w:val="375"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49</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公有制的主体地位主要体现在国有经济在社会总资产中占优势</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应该是公有资产在社会总资产中占优势，国有经济控制国民经济命脉</w:t>
            </w:r>
          </w:p>
        </w:tc>
      </w:tr>
      <w:tr>
        <w:tblPrEx>
          <w:tblCellMar>
            <w:top w:w="0" w:type="dxa"/>
            <w:left w:w="108" w:type="dxa"/>
            <w:bottom w:w="0" w:type="dxa"/>
            <w:right w:w="108" w:type="dxa"/>
          </w:tblCellMar>
        </w:tblPrEx>
        <w:trPr>
          <w:trHeight w:val="360"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kern w:val="0"/>
                <w:szCs w:val="21"/>
              </w:rPr>
            </w:pPr>
            <w:r>
              <w:rPr>
                <w:kern w:val="0"/>
                <w:szCs w:val="21"/>
              </w:rPr>
              <w:t>50</w:t>
            </w:r>
          </w:p>
        </w:tc>
        <w:tc>
          <w:tcPr>
            <w:tcW w:w="4352"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公司是以营利为目的而从事生产经营活动，向社会提供商品或服务的经济组织</w:t>
            </w:r>
          </w:p>
        </w:tc>
        <w:tc>
          <w:tcPr>
            <w:tcW w:w="46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kern w:val="0"/>
                <w:szCs w:val="21"/>
              </w:rPr>
            </w:pPr>
            <w:r>
              <w:rPr>
                <w:kern w:val="0"/>
                <w:szCs w:val="21"/>
              </w:rPr>
              <w:t>应该是企业，公司是依法设立的，全部资本由股东出资、以营利为目的的企业法人</w:t>
            </w:r>
          </w:p>
        </w:tc>
      </w:tr>
    </w:tbl>
    <w:p>
      <w:pPr>
        <w:jc w:val="center"/>
        <w:rPr>
          <w:rFonts w:ascii="宋体" w:hAnsi="宋体" w:cs="宋体"/>
          <w:b/>
          <w:bCs/>
          <w:color w:val="FF0000"/>
          <w:sz w:val="28"/>
          <w:szCs w:val="28"/>
        </w:rPr>
      </w:pPr>
      <w:r>
        <w:rPr>
          <w:rFonts w:hint="eastAsia" w:ascii="宋体" w:hAnsi="宋体" w:cs="宋体"/>
          <w:b/>
          <w:bCs/>
          <w:color w:val="FF0000"/>
          <w:sz w:val="28"/>
          <w:szCs w:val="28"/>
        </w:rPr>
        <w:t>扫码查看全套备考资源</w:t>
      </w:r>
    </w:p>
    <w:p>
      <w:pPr>
        <w:spacing w:line="360" w:lineRule="auto"/>
        <w:ind w:firstLine="435"/>
        <w:jc w:val="center"/>
        <w:rPr>
          <w:color w:val="FF0000"/>
        </w:rPr>
      </w:pPr>
      <w:r>
        <w:drawing>
          <wp:inline distT="0" distB="0" distL="0" distR="0">
            <wp:extent cx="3981450" cy="249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981574" cy="2497995"/>
                    </a:xfrm>
                    <a:prstGeom prst="rect">
                      <a:avLst/>
                    </a:prstGeom>
                  </pic:spPr>
                </pic:pic>
              </a:graphicData>
            </a:graphic>
          </wp:inline>
        </w:drawing>
      </w:r>
    </w:p>
    <w:p>
      <w:pPr>
        <w:spacing w:line="360" w:lineRule="auto"/>
        <w:rPr>
          <w:rFonts w:ascii="宋体" w:hAnsi="宋体"/>
          <w:szCs w:val="21"/>
        </w:rPr>
      </w:pPr>
    </w:p>
    <w:p>
      <w:pPr>
        <w:spacing w:line="360" w:lineRule="auto"/>
        <w:rPr>
          <w:color w:val="FF0000"/>
          <w:szCs w:val="21"/>
        </w:rPr>
      </w:pPr>
    </w:p>
    <w:sectPr>
      <w:footerReference r:id="rId3" w:type="default"/>
      <w:pgSz w:w="11906" w:h="16838"/>
      <w:pgMar w:top="1417" w:right="1077" w:bottom="1417" w:left="1077" w:header="850" w:footer="992" w:gutter="0"/>
      <w:cols w:space="425"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textAlignment w:val="center"/>
      <w:rPr>
        <w:color w:val="000000"/>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31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7"/>
    <w:rsid w:val="0001360E"/>
    <w:rsid w:val="00015FE7"/>
    <w:rsid w:val="0002451F"/>
    <w:rsid w:val="00041561"/>
    <w:rsid w:val="00051F46"/>
    <w:rsid w:val="000D38AA"/>
    <w:rsid w:val="000D7007"/>
    <w:rsid w:val="000E4A0D"/>
    <w:rsid w:val="000F5B9E"/>
    <w:rsid w:val="00146953"/>
    <w:rsid w:val="0027067E"/>
    <w:rsid w:val="002771D2"/>
    <w:rsid w:val="002E5183"/>
    <w:rsid w:val="002E56FE"/>
    <w:rsid w:val="00363227"/>
    <w:rsid w:val="0040402F"/>
    <w:rsid w:val="004142EB"/>
    <w:rsid w:val="004714F7"/>
    <w:rsid w:val="0047331D"/>
    <w:rsid w:val="004762C4"/>
    <w:rsid w:val="00486104"/>
    <w:rsid w:val="00487FB7"/>
    <w:rsid w:val="0056487D"/>
    <w:rsid w:val="00631146"/>
    <w:rsid w:val="006E406D"/>
    <w:rsid w:val="007066DC"/>
    <w:rsid w:val="0078064B"/>
    <w:rsid w:val="0079204F"/>
    <w:rsid w:val="0085328A"/>
    <w:rsid w:val="009035F2"/>
    <w:rsid w:val="00913910"/>
    <w:rsid w:val="00945A4F"/>
    <w:rsid w:val="00956036"/>
    <w:rsid w:val="009B520A"/>
    <w:rsid w:val="009D6B7D"/>
    <w:rsid w:val="009F07E0"/>
    <w:rsid w:val="00A821EF"/>
    <w:rsid w:val="00AF1614"/>
    <w:rsid w:val="00B205AE"/>
    <w:rsid w:val="00B44017"/>
    <w:rsid w:val="00BA63AD"/>
    <w:rsid w:val="00BF2005"/>
    <w:rsid w:val="00BF2518"/>
    <w:rsid w:val="00BF4AD7"/>
    <w:rsid w:val="00C2613D"/>
    <w:rsid w:val="00CF4216"/>
    <w:rsid w:val="00D57BC5"/>
    <w:rsid w:val="00DA037C"/>
    <w:rsid w:val="00DD0D58"/>
    <w:rsid w:val="00E53198"/>
    <w:rsid w:val="00EB5192"/>
    <w:rsid w:val="00F103E2"/>
    <w:rsid w:val="00FB0BA1"/>
    <w:rsid w:val="2762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rFonts w:asciiTheme="minorHAnsi" w:hAnsiTheme="minorHAnsi" w:eastAsiaTheme="minorEastAsia" w:cstheme="minorBidi"/>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555</Words>
  <Characters>3165</Characters>
  <Lines>26</Lines>
  <Paragraphs>7</Paragraphs>
  <TotalTime>194</TotalTime>
  <ScaleCrop>false</ScaleCrop>
  <LinksUpToDate>false</LinksUpToDate>
  <CharactersWithSpaces>3713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2019-12-17T03:45:00Z</dcterms:created>
  <dc:creator>高三015</dc:creator>
  <cp:lastModifiedBy>酸酸</cp:lastModifiedBy>
  <dcterms:modified xsi:type="dcterms:W3CDTF">2020-06-11T11:23:06Z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